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4EBB" w14:textId="77777777" w:rsidR="00FE14F4" w:rsidRDefault="00FE14F4" w:rsidP="00FE14F4">
      <w:pPr>
        <w:pStyle w:val="Rubrik"/>
      </w:pPr>
    </w:p>
    <w:p w14:paraId="24B60E37" w14:textId="4058D26C" w:rsidR="00FE14F4" w:rsidRDefault="00FE14F4" w:rsidP="00FE14F4">
      <w:pPr>
        <w:pStyle w:val="Rubrik"/>
      </w:pPr>
      <w:r>
        <w:t xml:space="preserve">Strategi och handlingsplan för </w:t>
      </w:r>
      <w:proofErr w:type="spellStart"/>
      <w:r>
        <w:t>Georange</w:t>
      </w:r>
      <w:proofErr w:type="spellEnd"/>
    </w:p>
    <w:p w14:paraId="774C2247" w14:textId="77777777" w:rsidR="00FE14F4" w:rsidRDefault="00FE14F4" w:rsidP="00FE14F4">
      <w:pPr>
        <w:rPr>
          <w:b/>
          <w:bCs/>
        </w:rPr>
      </w:pPr>
      <w:r>
        <w:rPr>
          <w:b/>
          <w:bCs/>
        </w:rPr>
        <w:t>Vision</w:t>
      </w:r>
    </w:p>
    <w:p w14:paraId="3ECBF6E1" w14:textId="77777777" w:rsidR="00FE14F4" w:rsidRDefault="00FE14F4" w:rsidP="00FE14F4">
      <w:proofErr w:type="spellStart"/>
      <w:r w:rsidRPr="005812AD">
        <w:t>Georange</w:t>
      </w:r>
      <w:proofErr w:type="spellEnd"/>
      <w:r w:rsidRPr="005812AD">
        <w:t xml:space="preserve"> är en oberoende organisation som aktivt bidrar till en hållbar samhälls- och näringslivsutveckling i norra Sverige baserad på gruv- och mineralnäringen. </w:t>
      </w:r>
    </w:p>
    <w:p w14:paraId="31CADD99" w14:textId="77777777" w:rsidR="00FE14F4" w:rsidRDefault="00FE14F4" w:rsidP="00FE14F4">
      <w:pPr>
        <w:rPr>
          <w:b/>
          <w:bCs/>
        </w:rPr>
      </w:pPr>
      <w:proofErr w:type="spellStart"/>
      <w:r>
        <w:rPr>
          <w:b/>
          <w:bCs/>
        </w:rPr>
        <w:t>Georange</w:t>
      </w:r>
      <w:proofErr w:type="spellEnd"/>
      <w:r>
        <w:rPr>
          <w:b/>
          <w:bCs/>
        </w:rPr>
        <w:t xml:space="preserve"> står för kunskap och förståelse</w:t>
      </w:r>
    </w:p>
    <w:p w14:paraId="638DADB0" w14:textId="55263767" w:rsidR="00DC635D" w:rsidRDefault="00FE14F4" w:rsidP="00FE14F4">
      <w:r>
        <w:t xml:space="preserve">För </w:t>
      </w:r>
      <w:proofErr w:type="spellStart"/>
      <w:r>
        <w:t>Georange</w:t>
      </w:r>
      <w:proofErr w:type="spellEnd"/>
      <w:r>
        <w:t xml:space="preserve"> är gruv- och mineralnäringens förutsättningar en fråga som måste tas på allvar på regional, nationell och lokal nivå. </w:t>
      </w:r>
      <w:r w:rsidR="00DC635D">
        <w:t xml:space="preserve">Gruv- och mineralnäringen förutsätter tillgång till markområden och andra resurser, exempelvis energi. Konkurrensen om markområden är ofta stor, och en stor utmaning för </w:t>
      </w:r>
      <w:r w:rsidR="008D522F">
        <w:t>utvecklingen av gruv- och mineralnäringen är därför, liksom för andra aktörer, potentiella konflikter med motstående intressen. Konflikter kring exempelvis markanvändning försvårar en ekonomiskt, socialt och miljömässigt hållbar utveckling av gruv- och mineralindustrin, vilket i sin tur minskar gruv- och mineralindustrins möjligheter att bidra till en hållbar utveckling.</w:t>
      </w:r>
    </w:p>
    <w:p w14:paraId="21E741AE" w14:textId="77FCB6D3" w:rsidR="00DC635D" w:rsidRDefault="008D522F" w:rsidP="00FE14F4">
      <w:proofErr w:type="spellStart"/>
      <w:r>
        <w:t>Georange</w:t>
      </w:r>
      <w:proofErr w:type="spellEnd"/>
      <w:r>
        <w:t xml:space="preserve"> har en stark övertygelse om att gemensamma mötesplatser där </w:t>
      </w:r>
      <w:r w:rsidR="003F6E0D">
        <w:t xml:space="preserve">aktörer med motstående intressen träffas och utbyter kunskaper och erfarenheter med varandra bidrar till att konfliktnivån minskar och förståelsen ökar. </w:t>
      </w:r>
      <w:proofErr w:type="spellStart"/>
      <w:r w:rsidR="003F6E0D">
        <w:t>Georanges</w:t>
      </w:r>
      <w:proofErr w:type="spellEnd"/>
      <w:r w:rsidR="003F6E0D">
        <w:t xml:space="preserve"> styrka är bred, oberoende kunskap om gruv- och industrinäringen </w:t>
      </w:r>
      <w:r w:rsidR="00A42F92">
        <w:t xml:space="preserve">och dess motstående intressen </w:t>
      </w:r>
      <w:r w:rsidR="003F6E0D">
        <w:t>som ska förmedlas vidare.</w:t>
      </w:r>
    </w:p>
    <w:p w14:paraId="0273A652" w14:textId="3FE0F20C" w:rsidR="00FE14F4" w:rsidRPr="00CE1C1D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t>Georange</w:t>
      </w:r>
      <w:proofErr w:type="spellEnd"/>
      <w:r>
        <w:t xml:space="preserve"> arbete ska bidra till att skapa en nyanserad och korrekt helhetsbild av gruv- och mineralnäringen </w:t>
      </w:r>
      <w:r w:rsidR="00A42F92">
        <w:t xml:space="preserve">och dess motstående intressen </w:t>
      </w:r>
      <w:r>
        <w:t xml:space="preserve">och höja kunskapen om </w:t>
      </w:r>
      <w:r w:rsidR="00A42F92">
        <w:t>de</w:t>
      </w:r>
      <w:r w:rsidR="0025728E">
        <w:t>ss</w:t>
      </w:r>
      <w:r w:rsidR="00A42F92">
        <w:t>a</w:t>
      </w:r>
      <w:r>
        <w:t>.</w:t>
      </w:r>
    </w:p>
    <w:p w14:paraId="29C058D4" w14:textId="3E844B25" w:rsidR="00FE14F4" w:rsidRPr="00926175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t>Georange</w:t>
      </w:r>
      <w:proofErr w:type="spellEnd"/>
      <w:r>
        <w:t xml:space="preserve"> ska arbeta för att tillståndsprocesser blir </w:t>
      </w:r>
      <w:r w:rsidR="008D522F">
        <w:t xml:space="preserve">mer förutsägbara och </w:t>
      </w:r>
      <w:r>
        <w:t>enklare att förstå.</w:t>
      </w:r>
    </w:p>
    <w:p w14:paraId="531C89F8" w14:textId="24C2DBE9" w:rsidR="00FE14F4" w:rsidRDefault="00FE14F4" w:rsidP="00FE14F4">
      <w:pPr>
        <w:pStyle w:val="Liststycke"/>
        <w:numPr>
          <w:ilvl w:val="0"/>
          <w:numId w:val="1"/>
        </w:numPr>
      </w:pPr>
      <w:proofErr w:type="spellStart"/>
      <w:r>
        <w:t>Georange</w:t>
      </w:r>
      <w:proofErr w:type="spellEnd"/>
      <w:r>
        <w:t xml:space="preserve"> är en viktig aktör för kunskapsspridning om gruvor och mineral och om betydelsen av metaller och mineral för ett </w:t>
      </w:r>
      <w:r w:rsidR="00420F6B">
        <w:t xml:space="preserve">ekonomiskt, socialt och miljömässigt </w:t>
      </w:r>
      <w:r>
        <w:t xml:space="preserve">hållbart samhälle. </w:t>
      </w:r>
    </w:p>
    <w:p w14:paraId="5C3BF2B8" w14:textId="34EBD336" w:rsidR="0025728E" w:rsidRPr="005C0E0B" w:rsidRDefault="0025728E" w:rsidP="00FE14F4">
      <w:pPr>
        <w:pStyle w:val="Liststycke"/>
        <w:numPr>
          <w:ilvl w:val="0"/>
          <w:numId w:val="1"/>
        </w:numPr>
      </w:pPr>
      <w:proofErr w:type="spellStart"/>
      <w:r>
        <w:t>Georange</w:t>
      </w:r>
      <w:proofErr w:type="spellEnd"/>
      <w:r>
        <w:t xml:space="preserve"> verkar för ökad kunskap om hur gruv- och mineralverksamhet kan bedrivas på ett socialt och miljömässigt hållbart sätt. </w:t>
      </w:r>
    </w:p>
    <w:p w14:paraId="55AA5071" w14:textId="77777777" w:rsidR="00827281" w:rsidRDefault="00827281">
      <w:pPr>
        <w:rPr>
          <w:b/>
          <w:bCs/>
        </w:rPr>
      </w:pPr>
      <w:r>
        <w:rPr>
          <w:b/>
          <w:bCs/>
        </w:rPr>
        <w:br w:type="page"/>
      </w:r>
    </w:p>
    <w:p w14:paraId="05BE01A6" w14:textId="77777777" w:rsidR="00827281" w:rsidRDefault="00827281" w:rsidP="00FE14F4">
      <w:pPr>
        <w:rPr>
          <w:b/>
          <w:bCs/>
        </w:rPr>
      </w:pPr>
    </w:p>
    <w:p w14:paraId="08E5CE7B" w14:textId="36340C06" w:rsidR="00FE14F4" w:rsidRPr="005C0E0B" w:rsidRDefault="00FE14F4" w:rsidP="00FE14F4">
      <w:r w:rsidRPr="005C0E0B">
        <w:rPr>
          <w:b/>
          <w:bCs/>
        </w:rPr>
        <w:t>Gruv- och mineralnäringen och samhället</w:t>
      </w:r>
    </w:p>
    <w:p w14:paraId="23C77B4D" w14:textId="51E0F8E7" w:rsidR="00A42F92" w:rsidRDefault="00FE14F4" w:rsidP="00FE14F4">
      <w:proofErr w:type="spellStart"/>
      <w:r>
        <w:t>Georange</w:t>
      </w:r>
      <w:proofErr w:type="spellEnd"/>
      <w:r>
        <w:t xml:space="preserve"> har insikt om att okunskap och missförstånd om gruv- och mineralnäringen</w:t>
      </w:r>
      <w:r w:rsidR="003F6E0D">
        <w:t xml:space="preserve"> hämmar utvecklingen av branschen.</w:t>
      </w:r>
      <w:r w:rsidR="00A42F92">
        <w:t xml:space="preserve"> </w:t>
      </w:r>
      <w:proofErr w:type="spellStart"/>
      <w:r w:rsidR="00A42F92">
        <w:t>Georange</w:t>
      </w:r>
      <w:proofErr w:type="spellEnd"/>
      <w:r w:rsidR="00A42F92">
        <w:t xml:space="preserve"> har också kunskap om att gruv- och mineralnäringens företrädare och företrädare för motstående intressens har behov av att vara delaktiga i en ömsesidig dialog, för att öka kunskap och förståelse för varandras perspektiv.</w:t>
      </w:r>
      <w:r w:rsidR="003F6E0D">
        <w:t xml:space="preserve"> </w:t>
      </w:r>
    </w:p>
    <w:p w14:paraId="732F00EC" w14:textId="2F7482B7" w:rsidR="00FE14F4" w:rsidRPr="00B178C3" w:rsidRDefault="003F6E0D" w:rsidP="00FE14F4">
      <w:r>
        <w:t xml:space="preserve">Gruv- och mineralnäringen spelar en viktig roll för </w:t>
      </w:r>
      <w:r w:rsidR="0087035B">
        <w:t xml:space="preserve">fossilfri och klimatneutral samhällsutveckling. </w:t>
      </w:r>
      <w:r w:rsidR="00FE14F4">
        <w:t xml:space="preserve"> Höjda kunskapsnivåer bidrar till bättre relationer mellan tillståndsgivande myndigheter, näringen och andra intressenter.  Ökad kunskap om gruv- och mineralnäringens behov bidrar också till att näringens kompetensbehov bättre kan tillgodoses av aktörer som tillhandahåller utbildning</w:t>
      </w:r>
      <w:r w:rsidR="0087035B">
        <w:t xml:space="preserve">. Detta skapar en positiv kunskapsspiral som bidrar till att gruv- och mineralnäringen kan bidra till ekonomiskt, socialt och miljömässigt hållbar utveckling av samhället. </w:t>
      </w:r>
    </w:p>
    <w:p w14:paraId="6D435F6F" w14:textId="77777777" w:rsidR="00FE14F4" w:rsidRDefault="00FE14F4" w:rsidP="00FE14F4">
      <w:pPr>
        <w:rPr>
          <w:b/>
          <w:bCs/>
        </w:rPr>
      </w:pPr>
      <w:r w:rsidRPr="000B4F2D">
        <w:rPr>
          <w:b/>
          <w:bCs/>
        </w:rPr>
        <w:t>3 år</w:t>
      </w:r>
    </w:p>
    <w:p w14:paraId="4CB10F59" w14:textId="0393353A" w:rsidR="00FE14F4" w:rsidRDefault="00FE14F4" w:rsidP="00FE14F4">
      <w:pPr>
        <w:pStyle w:val="Liststycke"/>
        <w:numPr>
          <w:ilvl w:val="0"/>
          <w:numId w:val="4"/>
        </w:numPr>
      </w:pPr>
      <w:r w:rsidRPr="00A91489">
        <w:t xml:space="preserve">Föreningen har </w:t>
      </w:r>
      <w:r w:rsidR="00420F6B">
        <w:t xml:space="preserve">god kunskap om ny policy och lag på nationell och EU-nivå och </w:t>
      </w:r>
      <w:r w:rsidRPr="00A91489">
        <w:t>hur de</w:t>
      </w:r>
      <w:r w:rsidR="00420F6B">
        <w:t xml:space="preserve"> </w:t>
      </w:r>
      <w:r>
        <w:t>påverkar</w:t>
      </w:r>
      <w:r w:rsidRPr="00A91489">
        <w:t xml:space="preserve"> Sverige och dess industri. </w:t>
      </w:r>
    </w:p>
    <w:p w14:paraId="3FA6A412" w14:textId="49FAF65C" w:rsidR="00FE14F4" w:rsidRDefault="00FE14F4" w:rsidP="00FE14F4">
      <w:pPr>
        <w:pStyle w:val="Liststycke"/>
        <w:numPr>
          <w:ilvl w:val="0"/>
          <w:numId w:val="4"/>
        </w:numPr>
      </w:pPr>
      <w:r>
        <w:t>Föreningen arbetar tillsammans med regionalt utvecklingsansvariga och länsstyrelserna som en naturlig plattform för gruv- och mineralfrågor</w:t>
      </w:r>
      <w:r w:rsidR="00A42F92">
        <w:t xml:space="preserve"> och dess motstående intressen</w:t>
      </w:r>
      <w:r>
        <w:t>.</w:t>
      </w:r>
    </w:p>
    <w:p w14:paraId="76F11F1A" w14:textId="6726F6B4" w:rsidR="00FE14F4" w:rsidRDefault="00FE14F4" w:rsidP="00FE14F4">
      <w:pPr>
        <w:pStyle w:val="Liststycke"/>
        <w:numPr>
          <w:ilvl w:val="0"/>
          <w:numId w:val="4"/>
        </w:numPr>
      </w:pPr>
      <w:r>
        <w:t xml:space="preserve">Föreningen är en viktig aktör för kunskapsspridning om gruvor och mineral och om betydelsen av metaller och mineral för </w:t>
      </w:r>
      <w:r w:rsidR="00420F6B">
        <w:t>den gröna och digitala omställningen och en</w:t>
      </w:r>
      <w:r>
        <w:t xml:space="preserve"> hållbar</w:t>
      </w:r>
      <w:r w:rsidR="00420F6B">
        <w:t xml:space="preserve"> utveckling av</w:t>
      </w:r>
      <w:r>
        <w:t xml:space="preserve"> samhälle</w:t>
      </w:r>
      <w:r w:rsidR="00420F6B">
        <w:t>t i stort</w:t>
      </w:r>
      <w:r>
        <w:t xml:space="preserve">. </w:t>
      </w:r>
    </w:p>
    <w:p w14:paraId="1B431D1C" w14:textId="77777777" w:rsidR="00FE14F4" w:rsidRDefault="00FE14F4" w:rsidP="00FE14F4">
      <w:pPr>
        <w:pStyle w:val="Liststycke"/>
        <w:numPr>
          <w:ilvl w:val="0"/>
          <w:numId w:val="4"/>
        </w:numPr>
      </w:pPr>
      <w:r>
        <w:t>Föreningen har en central roll i framtagandet av regionala gruv- och mineralstrategier.</w:t>
      </w:r>
    </w:p>
    <w:p w14:paraId="78C08DF7" w14:textId="1F41895D" w:rsidR="00FE14F4" w:rsidRPr="004A16D5" w:rsidRDefault="00FE14F4" w:rsidP="00FE14F4">
      <w:pPr>
        <w:pStyle w:val="Liststycke"/>
        <w:numPr>
          <w:ilvl w:val="0"/>
          <w:numId w:val="4"/>
        </w:numPr>
      </w:pPr>
      <w:r>
        <w:t>Föreningen bidrar till förbättrad befolkningsförsörjning och attraktiva livsmiljöer genom att skapa mötesplatser för samverkan mellan olika aktörer i gruv- och mineralnäringen</w:t>
      </w:r>
      <w:r w:rsidR="00A42F92">
        <w:t xml:space="preserve"> och dess motstående intressen</w:t>
      </w:r>
      <w:r>
        <w:t>.</w:t>
      </w:r>
    </w:p>
    <w:p w14:paraId="0E1331EC" w14:textId="472F0FEF" w:rsidR="00FE14F4" w:rsidRDefault="00FE14F4" w:rsidP="00FE14F4">
      <w:pPr>
        <w:rPr>
          <w:b/>
          <w:bCs/>
        </w:rPr>
      </w:pPr>
      <w:r w:rsidRPr="000B4F2D">
        <w:rPr>
          <w:b/>
          <w:bCs/>
        </w:rPr>
        <w:t>5 år</w:t>
      </w:r>
    </w:p>
    <w:p w14:paraId="116EE183" w14:textId="77777777" w:rsidR="00FE14F4" w:rsidRDefault="00FE14F4" w:rsidP="00FE14F4">
      <w:pPr>
        <w:pStyle w:val="Liststycke"/>
        <w:numPr>
          <w:ilvl w:val="0"/>
          <w:numId w:val="3"/>
        </w:numPr>
      </w:pPr>
      <w:r w:rsidRPr="00FC4FFB">
        <w:t xml:space="preserve">Föreningen bidrar till att tillståndsgivande </w:t>
      </w:r>
      <w:r>
        <w:t xml:space="preserve">myndigheter och andra </w:t>
      </w:r>
      <w:r w:rsidRPr="00FC4FFB">
        <w:t>myndigheter har bättre förståelse för gruv- och mineralnäringens behov</w:t>
      </w:r>
      <w:r>
        <w:t xml:space="preserve"> vilket bidrar till mer lättförståeliga och förutsägbara tillståndsprocesser.</w:t>
      </w:r>
    </w:p>
    <w:p w14:paraId="65CE0999" w14:textId="116A29E6" w:rsidR="00FE14F4" w:rsidRDefault="00FE14F4" w:rsidP="00FE14F4">
      <w:pPr>
        <w:pStyle w:val="Liststycke"/>
        <w:numPr>
          <w:ilvl w:val="0"/>
          <w:numId w:val="3"/>
        </w:numPr>
      </w:pPr>
      <w:r>
        <w:t xml:space="preserve">Föreningen bidrar till gruvindustrins kompetensförsörjning genom kunskapshöjning om näringens behov </w:t>
      </w:r>
      <w:r w:rsidR="00420F6B">
        <w:t xml:space="preserve">av </w:t>
      </w:r>
      <w:r>
        <w:t>utbildningsaktörer, där kommunala lärcentra är särskilt utpekade.</w:t>
      </w:r>
    </w:p>
    <w:p w14:paraId="2C531677" w14:textId="466C90E0" w:rsidR="00FE14F4" w:rsidRDefault="00FE14F4" w:rsidP="00FE14F4">
      <w:pPr>
        <w:pStyle w:val="Liststycke"/>
        <w:numPr>
          <w:ilvl w:val="0"/>
          <w:numId w:val="3"/>
        </w:numPr>
      </w:pPr>
      <w:r>
        <w:t>Föreningen bidrar till att ekonomisk, social och miljömässig hållbarhet är närvarande i alla frågor som rör gruv- och mineralnäringen</w:t>
      </w:r>
      <w:r w:rsidR="00A42F92">
        <w:t xml:space="preserve"> och dess motstående intressen</w:t>
      </w:r>
      <w:r>
        <w:t xml:space="preserve">.  </w:t>
      </w:r>
    </w:p>
    <w:p w14:paraId="0A918B95" w14:textId="5564DE0C" w:rsidR="00FE14F4" w:rsidRDefault="00FE14F4" w:rsidP="008E55E1">
      <w:pPr>
        <w:pStyle w:val="Liststycke"/>
        <w:numPr>
          <w:ilvl w:val="0"/>
          <w:numId w:val="3"/>
        </w:numPr>
      </w:pPr>
      <w:r>
        <w:t>Föreningen bidrar till att skapa många vinnare vid gruvetableringar</w:t>
      </w:r>
      <w:r w:rsidR="008E55E1">
        <w:t xml:space="preserve"> ur ett brett samhällsperspektiv</w:t>
      </w:r>
      <w:r>
        <w:t xml:space="preserve">. </w:t>
      </w:r>
    </w:p>
    <w:p w14:paraId="0CA47706" w14:textId="0A0C598A" w:rsidR="00FE14F4" w:rsidRPr="0060029F" w:rsidRDefault="00FE14F4" w:rsidP="00FE14F4">
      <w:pPr>
        <w:pStyle w:val="Liststycke"/>
        <w:numPr>
          <w:ilvl w:val="0"/>
          <w:numId w:val="3"/>
        </w:numPr>
        <w:rPr>
          <w:b/>
          <w:bCs/>
        </w:rPr>
      </w:pPr>
      <w:r>
        <w:t>Föreningen har bidragit till ett offentligt digitalt kunskapscenter om gruv- och mineralnäringen</w:t>
      </w:r>
      <w:r w:rsidR="00A42F92">
        <w:t xml:space="preserve"> och dess motstående intressen</w:t>
      </w:r>
      <w:r>
        <w:t>.</w:t>
      </w:r>
    </w:p>
    <w:p w14:paraId="15D1A251" w14:textId="77777777" w:rsidR="00FE14F4" w:rsidRPr="00A10C0B" w:rsidRDefault="00FE14F4" w:rsidP="00FE14F4">
      <w:pPr>
        <w:pStyle w:val="Liststycke"/>
        <w:numPr>
          <w:ilvl w:val="0"/>
          <w:numId w:val="3"/>
        </w:numPr>
        <w:rPr>
          <w:b/>
          <w:bCs/>
        </w:rPr>
      </w:pPr>
      <w:r>
        <w:t xml:space="preserve">Föreningen är en partner i internationellt samarbete med övergripande syfte att stärka sin nationella roll. </w:t>
      </w:r>
    </w:p>
    <w:p w14:paraId="35BDE08F" w14:textId="77777777" w:rsidR="00827281" w:rsidRDefault="00827281" w:rsidP="00FE14F4">
      <w:pPr>
        <w:rPr>
          <w:b/>
          <w:bCs/>
          <w:sz w:val="24"/>
          <w:szCs w:val="24"/>
        </w:rPr>
      </w:pPr>
    </w:p>
    <w:p w14:paraId="264CCA74" w14:textId="318E28BE" w:rsidR="00FE14F4" w:rsidRDefault="00FE14F4" w:rsidP="00FE1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Viktiga samarbetspartners</w:t>
      </w:r>
    </w:p>
    <w:p w14:paraId="6AFF937D" w14:textId="77777777" w:rsidR="00FE14F4" w:rsidRPr="00095870" w:rsidRDefault="00FE14F4" w:rsidP="00FE14F4">
      <w:proofErr w:type="spellStart"/>
      <w:r>
        <w:t>Georange</w:t>
      </w:r>
      <w:proofErr w:type="spellEnd"/>
      <w:r>
        <w:t xml:space="preserve"> arbete kräver goda relationer till alla relevanta samarbetspartners. I framtagandet av strategin har följande samarbeten framhållits som särskilt viktiga att prioritera i ett första skede.</w:t>
      </w:r>
    </w:p>
    <w:p w14:paraId="69CA09F5" w14:textId="77777777" w:rsidR="00FE14F4" w:rsidRPr="007C354F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t>Region Norrbotten</w:t>
      </w:r>
    </w:p>
    <w:p w14:paraId="06ECFD42" w14:textId="77777777" w:rsidR="00FE14F4" w:rsidRPr="007C354F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t>Region Västerbotten</w:t>
      </w:r>
    </w:p>
    <w:p w14:paraId="4CBC8D1D" w14:textId="77777777" w:rsidR="00FE14F4" w:rsidRPr="007C354F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t>Länsstyrelsen Norrbotten</w:t>
      </w:r>
    </w:p>
    <w:p w14:paraId="787E7DF4" w14:textId="77777777" w:rsidR="00FE14F4" w:rsidRPr="007C354F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r>
        <w:t>Länsstyrelsen Västerbotten</w:t>
      </w:r>
    </w:p>
    <w:p w14:paraId="27B2F37A" w14:textId="77777777" w:rsidR="00FE14F4" w:rsidRPr="00A10C0B" w:rsidRDefault="00FE14F4" w:rsidP="00FE14F4">
      <w:pPr>
        <w:pStyle w:val="Liststycke"/>
        <w:numPr>
          <w:ilvl w:val="0"/>
          <w:numId w:val="1"/>
        </w:numPr>
        <w:rPr>
          <w:b/>
          <w:bCs/>
          <w:sz w:val="24"/>
          <w:szCs w:val="24"/>
        </w:rPr>
      </w:pPr>
      <w:proofErr w:type="spellStart"/>
      <w:r>
        <w:t>Bergskraft</w:t>
      </w:r>
      <w:proofErr w:type="spellEnd"/>
    </w:p>
    <w:p w14:paraId="17335023" w14:textId="77777777" w:rsidR="00FE14F4" w:rsidRDefault="00FE14F4" w:rsidP="00FE14F4">
      <w:pPr>
        <w:rPr>
          <w:b/>
          <w:bCs/>
        </w:rPr>
      </w:pPr>
      <w:r>
        <w:rPr>
          <w:b/>
          <w:bCs/>
        </w:rPr>
        <w:t>Medlemsnytta</w:t>
      </w:r>
    </w:p>
    <w:p w14:paraId="269606C3" w14:textId="3DB4CF57" w:rsidR="00FE14F4" w:rsidRDefault="00FE14F4" w:rsidP="00FE14F4">
      <w:proofErr w:type="spellStart"/>
      <w:r w:rsidRPr="0067334D">
        <w:t>Geo</w:t>
      </w:r>
      <w:r>
        <w:t>range</w:t>
      </w:r>
      <w:proofErr w:type="spellEnd"/>
      <w:r>
        <w:t xml:space="preserve"> erbjuder neutrala mötesplatser för dialog om gruv- och mineralnäringen</w:t>
      </w:r>
      <w:r w:rsidR="00A42F92">
        <w:t xml:space="preserve"> och dess motstående intressen</w:t>
      </w:r>
      <w:r>
        <w:t xml:space="preserve"> i ett regionalt och lokalt sammanhang. Medlemmarna får ta del av och bidra till den samlade kunskapen som </w:t>
      </w:r>
      <w:proofErr w:type="spellStart"/>
      <w:r>
        <w:t>Georange</w:t>
      </w:r>
      <w:proofErr w:type="spellEnd"/>
      <w:r>
        <w:t xml:space="preserve"> förvaltar och får tillgång till föreningens kompetens om att genomföra konstruktiv, kunskapsbaserad dialog. </w:t>
      </w:r>
    </w:p>
    <w:p w14:paraId="648E3B95" w14:textId="77777777" w:rsidR="00FE14F4" w:rsidRDefault="00FE14F4" w:rsidP="00FE14F4">
      <w:pPr>
        <w:rPr>
          <w:b/>
          <w:bCs/>
        </w:rPr>
      </w:pPr>
      <w:r w:rsidRPr="00BE46D9">
        <w:rPr>
          <w:b/>
          <w:bCs/>
        </w:rPr>
        <w:t>1 år</w:t>
      </w:r>
    </w:p>
    <w:p w14:paraId="3F90ADAD" w14:textId="77777777" w:rsidR="00FE14F4" w:rsidRDefault="00FE14F4" w:rsidP="00FE14F4">
      <w:pPr>
        <w:pStyle w:val="Liststycke"/>
        <w:numPr>
          <w:ilvl w:val="0"/>
          <w:numId w:val="1"/>
        </w:numPr>
      </w:pPr>
      <w:r>
        <w:t>Föreningen tillhandahåller ett i</w:t>
      </w:r>
      <w:r w:rsidRPr="000720D2">
        <w:t>nformations</w:t>
      </w:r>
      <w:r>
        <w:t>utskick till medlemmarna efter upprättande av strategi och handlingsplan.</w:t>
      </w:r>
    </w:p>
    <w:p w14:paraId="2C63AAED" w14:textId="77777777" w:rsidR="00FE14F4" w:rsidRPr="000720D2" w:rsidRDefault="00FE14F4" w:rsidP="00FE14F4">
      <w:pPr>
        <w:pStyle w:val="Liststycke"/>
        <w:numPr>
          <w:ilvl w:val="0"/>
          <w:numId w:val="1"/>
        </w:numPr>
      </w:pPr>
      <w:r>
        <w:t>Föreningen har varit i kontakt med befintliga medlemmar och haft dialog om förväntad medlemsnytta.</w:t>
      </w:r>
    </w:p>
    <w:p w14:paraId="06A12137" w14:textId="0E2A4F06" w:rsidR="00FE14F4" w:rsidRDefault="00FE14F4" w:rsidP="00FE14F4">
      <w:pPr>
        <w:rPr>
          <w:b/>
          <w:bCs/>
        </w:rPr>
      </w:pPr>
      <w:r w:rsidRPr="00BE46D9">
        <w:rPr>
          <w:b/>
          <w:bCs/>
        </w:rPr>
        <w:t>3 år</w:t>
      </w:r>
    </w:p>
    <w:p w14:paraId="6E83E9A9" w14:textId="77777777" w:rsidR="00FE14F4" w:rsidRDefault="00FE14F4" w:rsidP="00FE14F4">
      <w:pPr>
        <w:pStyle w:val="Liststycke"/>
        <w:numPr>
          <w:ilvl w:val="0"/>
          <w:numId w:val="1"/>
        </w:numPr>
      </w:pPr>
      <w:r w:rsidRPr="00244A08">
        <w:t>Föreningen</w:t>
      </w:r>
      <w:r>
        <w:t xml:space="preserve"> har upprättat former för att medlemmarna kontinuerligt får information från föreningen. </w:t>
      </w:r>
    </w:p>
    <w:p w14:paraId="55A7D874" w14:textId="77777777" w:rsidR="00FE14F4" w:rsidRDefault="00FE14F4" w:rsidP="00FE14F4">
      <w:pPr>
        <w:pStyle w:val="Liststycke"/>
        <w:numPr>
          <w:ilvl w:val="0"/>
          <w:numId w:val="1"/>
        </w:numPr>
      </w:pPr>
      <w:r>
        <w:t xml:space="preserve">Föreningen har utvecklat former för tvåvägskommunikation mellan föreningen och medlemmarna. </w:t>
      </w:r>
    </w:p>
    <w:p w14:paraId="2327AEBD" w14:textId="25ACC7E3" w:rsidR="00FE14F4" w:rsidRDefault="00FE14F4" w:rsidP="00FE14F4">
      <w:pPr>
        <w:pStyle w:val="Liststycke"/>
        <w:numPr>
          <w:ilvl w:val="0"/>
          <w:numId w:val="1"/>
        </w:numPr>
      </w:pPr>
      <w:r>
        <w:t>Föreningen har arrangerat en eller flera mötesplatser för dialog om gruv- och mineralnäringen</w:t>
      </w:r>
      <w:r w:rsidR="00A42F92">
        <w:t xml:space="preserve"> och dess motstående intressen</w:t>
      </w:r>
      <w:r>
        <w:t xml:space="preserve">. </w:t>
      </w:r>
    </w:p>
    <w:p w14:paraId="14DD86EC" w14:textId="27ADE8CE" w:rsidR="00DC635D" w:rsidRPr="00DC635D" w:rsidRDefault="00DC635D" w:rsidP="00DC635D">
      <w:pPr>
        <w:pStyle w:val="Liststycke"/>
        <w:numPr>
          <w:ilvl w:val="0"/>
          <w:numId w:val="1"/>
        </w:numPr>
        <w:rPr>
          <w:b/>
          <w:bCs/>
        </w:rPr>
      </w:pPr>
      <w:r>
        <w:t>Föreningen har lett genomförande av minst ett större forsknings-/utvecklingsprojekt finansiera</w:t>
      </w:r>
      <w:r w:rsidR="008D522F">
        <w:t>t</w:t>
      </w:r>
      <w:r>
        <w:t xml:space="preserve"> genom medel från industri, stat eller EU, enskilt eller i kombination.</w:t>
      </w:r>
    </w:p>
    <w:p w14:paraId="44673EE9" w14:textId="77777777" w:rsidR="00FE14F4" w:rsidRDefault="00FE14F4" w:rsidP="00FE14F4">
      <w:pPr>
        <w:rPr>
          <w:b/>
          <w:bCs/>
        </w:rPr>
      </w:pPr>
      <w:r w:rsidRPr="00BE46D9">
        <w:rPr>
          <w:b/>
          <w:bCs/>
        </w:rPr>
        <w:t>5 år</w:t>
      </w:r>
    </w:p>
    <w:p w14:paraId="47E5379A" w14:textId="77777777" w:rsidR="00FE14F4" w:rsidRPr="003451B4" w:rsidRDefault="00FE14F4" w:rsidP="003451B4">
      <w:pPr>
        <w:pStyle w:val="Liststycke"/>
        <w:numPr>
          <w:ilvl w:val="0"/>
          <w:numId w:val="5"/>
        </w:numPr>
        <w:rPr>
          <w:b/>
          <w:bCs/>
        </w:rPr>
      </w:pPr>
      <w:r>
        <w:t xml:space="preserve">Föreningens mötesplatser är välbesökta och har gott renommé hos medlemmarna och övriga intressenter. </w:t>
      </w:r>
    </w:p>
    <w:p w14:paraId="52463BDD" w14:textId="77777777" w:rsidR="003451B4" w:rsidRPr="003451B4" w:rsidRDefault="00FE14F4" w:rsidP="003451B4">
      <w:pPr>
        <w:pStyle w:val="Liststycke"/>
        <w:numPr>
          <w:ilvl w:val="0"/>
          <w:numId w:val="5"/>
        </w:numPr>
        <w:rPr>
          <w:b/>
          <w:bCs/>
        </w:rPr>
      </w:pPr>
      <w:r>
        <w:t>Föreningen har bidragit till ett offentligt digitalt kunskapscenter om gruv- och mineralnäringen</w:t>
      </w:r>
      <w:r w:rsidR="00A42F92">
        <w:t xml:space="preserve"> och dess motstående intressen</w:t>
      </w:r>
      <w:r w:rsidR="003451B4">
        <w:t>.</w:t>
      </w:r>
    </w:p>
    <w:p w14:paraId="4B3FA2BC" w14:textId="7706931A" w:rsidR="00827281" w:rsidRPr="003451B4" w:rsidRDefault="00DC635D" w:rsidP="003451B4">
      <w:pPr>
        <w:pStyle w:val="Liststycke"/>
        <w:numPr>
          <w:ilvl w:val="0"/>
          <w:numId w:val="5"/>
        </w:numPr>
        <w:rPr>
          <w:b/>
          <w:bCs/>
        </w:rPr>
      </w:pPr>
      <w:r>
        <w:t>Föreningen har lett genomförande av minst två större forsknings-/utvecklingsprojekt finansie</w:t>
      </w:r>
      <w:r w:rsidR="008D522F">
        <w:t>rade</w:t>
      </w:r>
      <w:r>
        <w:t xml:space="preserve"> genom medel från industri, stat eller EU, enskilt eller i kombination.</w:t>
      </w:r>
      <w:r w:rsidR="00827281" w:rsidRPr="003451B4">
        <w:rPr>
          <w:b/>
          <w:bCs/>
          <w:sz w:val="24"/>
          <w:szCs w:val="24"/>
        </w:rPr>
        <w:br w:type="page"/>
      </w:r>
    </w:p>
    <w:p w14:paraId="2B4DBA9E" w14:textId="77777777" w:rsidR="00827281" w:rsidRDefault="00827281" w:rsidP="00FE14F4">
      <w:pPr>
        <w:rPr>
          <w:b/>
          <w:bCs/>
          <w:sz w:val="24"/>
          <w:szCs w:val="24"/>
        </w:rPr>
      </w:pPr>
    </w:p>
    <w:p w14:paraId="54ED9CED" w14:textId="691A26C1" w:rsidR="00FE14F4" w:rsidRDefault="00FE14F4" w:rsidP="00FE14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Styrelsens interna arbete</w:t>
      </w:r>
    </w:p>
    <w:p w14:paraId="3AAA00F3" w14:textId="77777777" w:rsidR="00FE14F4" w:rsidRDefault="00FE14F4" w:rsidP="00FE14F4">
      <w:r>
        <w:t xml:space="preserve">Utgångspunkten för styrelsens interna arbete är att föreningens strategi och handlingsplan behöver stämma överens med föreningens tillgängliga resurser. I dagsläget räcker inte intäkterna från medlems- och serviceavgifter till att driva ett kontor med anställd personal, vilket är en utmaning för att ha kapacitet att utveckla verksamheten. </w:t>
      </w:r>
    </w:p>
    <w:p w14:paraId="26F33462" w14:textId="77777777" w:rsidR="00FE14F4" w:rsidRDefault="00FE14F4" w:rsidP="00FE14F4">
      <w:pPr>
        <w:rPr>
          <w:b/>
          <w:bCs/>
        </w:rPr>
      </w:pPr>
      <w:r>
        <w:rPr>
          <w:b/>
          <w:bCs/>
        </w:rPr>
        <w:t>Föreningens interna organisation</w:t>
      </w:r>
    </w:p>
    <w:p w14:paraId="5B2D5FBA" w14:textId="77777777" w:rsidR="00FE14F4" w:rsidRDefault="00FE14F4" w:rsidP="00FE14F4">
      <w:pPr>
        <w:rPr>
          <w:b/>
          <w:bCs/>
        </w:rPr>
      </w:pPr>
      <w:r>
        <w:rPr>
          <w:b/>
          <w:bCs/>
        </w:rPr>
        <w:t>1 år</w:t>
      </w:r>
    </w:p>
    <w:p w14:paraId="76BE5163" w14:textId="7C3CC20C" w:rsidR="00FE14F4" w:rsidRPr="00095870" w:rsidRDefault="00FE14F4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Styrelsen har beslutat om strategi och handlingsplan som förtydligar och fokuserar </w:t>
      </w:r>
      <w:proofErr w:type="spellStart"/>
      <w:r>
        <w:t>Georange</w:t>
      </w:r>
      <w:proofErr w:type="spellEnd"/>
      <w:r>
        <w:t xml:space="preserve"> verksamhet, medlemsnytta och </w:t>
      </w:r>
      <w:r w:rsidR="00827281">
        <w:t>bidrag till samhället.</w:t>
      </w:r>
    </w:p>
    <w:p w14:paraId="7E45359A" w14:textId="77777777" w:rsidR="00FE14F4" w:rsidRPr="0067334D" w:rsidRDefault="00FE14F4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Styrelsen har beslutat om långsiktiga ekonomiska mål som harmoniserar med föreningens strategiska målsättningar och behov av egen basverksamhet och projektverksamhet i egen regi och i samarbete med andra. </w:t>
      </w:r>
    </w:p>
    <w:p w14:paraId="402651B4" w14:textId="77777777" w:rsidR="00FE14F4" w:rsidRPr="008D522F" w:rsidRDefault="00FE14F4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 xml:space="preserve">Föreningen har återupprättat kontakten med </w:t>
      </w:r>
      <w:proofErr w:type="spellStart"/>
      <w:r>
        <w:t>Bergskraft</w:t>
      </w:r>
      <w:proofErr w:type="spellEnd"/>
      <w:r>
        <w:t xml:space="preserve"> och fördjupar kontakten även med Region Västerbotten, Region Norrbotten, Länsstyrelsen Västerbotten och Länsstyrelsen Norrbotten. </w:t>
      </w:r>
    </w:p>
    <w:p w14:paraId="5C480CFA" w14:textId="51E56AA2" w:rsidR="00DC635D" w:rsidRPr="00095870" w:rsidRDefault="00DC635D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>Genom dialog</w:t>
      </w:r>
      <w:r w:rsidR="008E55E1">
        <w:t xml:space="preserve"> och kommunikation</w:t>
      </w:r>
      <w:r>
        <w:t xml:space="preserve"> har föreningen förtroende hos medlemmarna.</w:t>
      </w:r>
    </w:p>
    <w:p w14:paraId="19192A81" w14:textId="77777777" w:rsidR="00FE14F4" w:rsidRPr="00095870" w:rsidRDefault="00FE14F4" w:rsidP="00FE14F4">
      <w:pPr>
        <w:rPr>
          <w:b/>
          <w:bCs/>
        </w:rPr>
      </w:pPr>
      <w:r>
        <w:rPr>
          <w:b/>
          <w:bCs/>
        </w:rPr>
        <w:t>3 år</w:t>
      </w:r>
    </w:p>
    <w:p w14:paraId="75804E9B" w14:textId="77777777" w:rsidR="00FE14F4" w:rsidRPr="00095870" w:rsidRDefault="00FE14F4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>Föreningen har ökat intäkterna och skapat förutsättningar för ett kontor med anställd personal och en egen basverksamhet.</w:t>
      </w:r>
    </w:p>
    <w:p w14:paraId="565495E8" w14:textId="77777777" w:rsidR="00FE14F4" w:rsidRPr="00703544" w:rsidRDefault="00FE14F4" w:rsidP="00FE14F4">
      <w:pPr>
        <w:pStyle w:val="Liststycke"/>
        <w:numPr>
          <w:ilvl w:val="0"/>
          <w:numId w:val="1"/>
        </w:numPr>
        <w:rPr>
          <w:b/>
          <w:bCs/>
        </w:rPr>
      </w:pPr>
      <w:r>
        <w:t>Föreningen har upprättat kommunikationskanaler till medlemmarna som en del i medlemsnyttan och har ett eller flera tydliga syften med kommunikationen.</w:t>
      </w:r>
    </w:p>
    <w:p w14:paraId="0607BA07" w14:textId="0148CF4F" w:rsidR="00FE14F4" w:rsidRDefault="00FE14F4" w:rsidP="00FE14F4">
      <w:pPr>
        <w:rPr>
          <w:b/>
          <w:bCs/>
        </w:rPr>
      </w:pPr>
      <w:r>
        <w:rPr>
          <w:b/>
          <w:bCs/>
        </w:rPr>
        <w:t>5 år</w:t>
      </w:r>
    </w:p>
    <w:p w14:paraId="717862BA" w14:textId="77777777" w:rsidR="00FE14F4" w:rsidRPr="0067334D" w:rsidRDefault="00FE14F4" w:rsidP="00FE14F4">
      <w:pPr>
        <w:pStyle w:val="Liststycke"/>
        <w:numPr>
          <w:ilvl w:val="0"/>
          <w:numId w:val="1"/>
        </w:numPr>
      </w:pPr>
      <w:r w:rsidRPr="0067334D">
        <w:t>Föreningen har en stabil intern organisation</w:t>
      </w:r>
      <w:r>
        <w:t xml:space="preserve"> och ett gott renommé hos föreningens intressenter</w:t>
      </w:r>
      <w:r w:rsidRPr="0067334D">
        <w:t xml:space="preserve"> och kan fokusera på </w:t>
      </w:r>
      <w:r>
        <w:t xml:space="preserve">det externa arbetet. </w:t>
      </w:r>
    </w:p>
    <w:p w14:paraId="2A36D951" w14:textId="77777777" w:rsidR="007A150C" w:rsidRDefault="007A150C"/>
    <w:sectPr w:rsidR="007A15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36CBC" w14:textId="77777777" w:rsidR="00B12610" w:rsidRDefault="00B12610" w:rsidP="00C97BDF">
      <w:pPr>
        <w:spacing w:after="0" w:line="240" w:lineRule="auto"/>
      </w:pPr>
      <w:r>
        <w:separator/>
      </w:r>
    </w:p>
  </w:endnote>
  <w:endnote w:type="continuationSeparator" w:id="0">
    <w:p w14:paraId="388CD45D" w14:textId="77777777" w:rsidR="00B12610" w:rsidRDefault="00B12610" w:rsidP="00C9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1753B" w14:textId="77777777" w:rsidR="00C97BDF" w:rsidRPr="00C97BDF" w:rsidRDefault="00C97BDF" w:rsidP="00C97BDF">
    <w:pPr>
      <w:pStyle w:val="Sidfot"/>
      <w:tabs>
        <w:tab w:val="left" w:pos="3686"/>
        <w:tab w:val="left" w:pos="6804"/>
      </w:tabs>
      <w:rPr>
        <w:rFonts w:ascii="Calibri" w:hAnsi="Calibri" w:cs="Calibri"/>
      </w:rPr>
    </w:pPr>
    <w:proofErr w:type="spellStart"/>
    <w:r w:rsidRPr="00C97BDF">
      <w:rPr>
        <w:rFonts w:ascii="Calibri" w:hAnsi="Calibri" w:cs="Calibri"/>
        <w:b/>
        <w:bCs/>
        <w:sz w:val="24"/>
        <w:szCs w:val="24"/>
      </w:rPr>
      <w:t>Georange</w:t>
    </w:r>
    <w:proofErr w:type="spellEnd"/>
    <w:r w:rsidRPr="00C97BDF">
      <w:rPr>
        <w:rFonts w:ascii="Calibri" w:hAnsi="Calibri" w:cs="Calibri"/>
        <w:b/>
        <w:bCs/>
        <w:sz w:val="24"/>
        <w:szCs w:val="24"/>
      </w:rPr>
      <w:t xml:space="preserve"> ideella förening</w:t>
    </w:r>
    <w:r w:rsidRPr="00C97BDF">
      <w:rPr>
        <w:rFonts w:ascii="Calibri" w:hAnsi="Calibri" w:cs="Calibri"/>
      </w:rPr>
      <w:tab/>
      <w:t>Kontakt:</w:t>
    </w:r>
    <w:r w:rsidRPr="00C97BDF">
      <w:rPr>
        <w:rFonts w:ascii="Calibri" w:hAnsi="Calibri" w:cs="Calibri"/>
      </w:rPr>
      <w:tab/>
    </w:r>
    <w:r w:rsidRPr="00C97BDF">
      <w:rPr>
        <w:rFonts w:ascii="Calibri" w:hAnsi="Calibri" w:cs="Calibri"/>
      </w:rPr>
      <w:tab/>
      <w:t>Org. nr.</w:t>
    </w:r>
  </w:p>
  <w:p w14:paraId="252B28C2" w14:textId="77777777" w:rsidR="00C97BDF" w:rsidRPr="00C97BDF" w:rsidRDefault="00C97BDF" w:rsidP="00C97BDF">
    <w:pPr>
      <w:pStyle w:val="Sidfot"/>
      <w:tabs>
        <w:tab w:val="left" w:pos="3686"/>
        <w:tab w:val="left" w:pos="6804"/>
      </w:tabs>
      <w:rPr>
        <w:rFonts w:ascii="Calibri" w:hAnsi="Calibri" w:cs="Calibri"/>
      </w:rPr>
    </w:pPr>
    <w:r w:rsidRPr="00C97BDF">
      <w:rPr>
        <w:rFonts w:ascii="Calibri" w:hAnsi="Calibri" w:cs="Calibri"/>
      </w:rPr>
      <w:t>Skriv- och kontorstjänst AB</w:t>
    </w:r>
    <w:r w:rsidRPr="00C97BDF">
      <w:rPr>
        <w:rFonts w:ascii="Calibri" w:hAnsi="Calibri" w:cs="Calibri"/>
      </w:rPr>
      <w:tab/>
      <w:t>070-548 86 29</w:t>
    </w:r>
    <w:r w:rsidRPr="00C97BDF">
      <w:rPr>
        <w:rFonts w:ascii="Calibri" w:hAnsi="Calibri" w:cs="Calibri"/>
      </w:rPr>
      <w:tab/>
      <w:t>894702-1047</w:t>
    </w:r>
  </w:p>
  <w:p w14:paraId="03C76988" w14:textId="77777777" w:rsidR="00C97BDF" w:rsidRPr="00C97BDF" w:rsidRDefault="00C97BDF" w:rsidP="00C97BDF">
    <w:pPr>
      <w:pStyle w:val="Sidfot"/>
      <w:tabs>
        <w:tab w:val="left" w:pos="3686"/>
        <w:tab w:val="left" w:pos="6804"/>
      </w:tabs>
      <w:rPr>
        <w:rFonts w:ascii="Calibri" w:hAnsi="Calibri" w:cs="Calibri"/>
      </w:rPr>
    </w:pPr>
    <w:r w:rsidRPr="00C97BDF">
      <w:rPr>
        <w:rFonts w:ascii="Calibri" w:hAnsi="Calibri" w:cs="Calibri"/>
      </w:rPr>
      <w:t>Stationsgatan 3</w:t>
    </w:r>
    <w:r w:rsidRPr="00C97BDF">
      <w:rPr>
        <w:rFonts w:ascii="Calibri" w:hAnsi="Calibri" w:cs="Calibri"/>
      </w:rPr>
      <w:tab/>
    </w:r>
    <w:hyperlink r:id="rId1" w:history="1">
      <w:r w:rsidRPr="00C97BDF">
        <w:rPr>
          <w:rStyle w:val="Hyperlnk"/>
          <w:rFonts w:ascii="Calibri" w:hAnsi="Calibri" w:cs="Calibri"/>
        </w:rPr>
        <w:t>tomas.mortsell@it4unet.se</w:t>
      </w:r>
    </w:hyperlink>
    <w:r w:rsidRPr="00C97BDF">
      <w:rPr>
        <w:rFonts w:ascii="Calibri" w:hAnsi="Calibri" w:cs="Calibri"/>
      </w:rPr>
      <w:tab/>
      <w:t>Bankgiro:</w:t>
    </w:r>
  </w:p>
  <w:p w14:paraId="14282BB9" w14:textId="77777777" w:rsidR="00C97BDF" w:rsidRPr="00C97BDF" w:rsidRDefault="00C97BDF" w:rsidP="00C97BDF">
    <w:pPr>
      <w:pStyle w:val="Sidfot"/>
      <w:tabs>
        <w:tab w:val="left" w:pos="3686"/>
        <w:tab w:val="left" w:pos="6521"/>
        <w:tab w:val="left" w:pos="6817"/>
        <w:tab w:val="left" w:pos="7088"/>
      </w:tabs>
      <w:rPr>
        <w:rFonts w:ascii="Calibri" w:hAnsi="Calibri" w:cs="Calibri"/>
      </w:rPr>
    </w:pPr>
    <w:r w:rsidRPr="00C97BDF">
      <w:rPr>
        <w:rFonts w:ascii="Calibri" w:hAnsi="Calibri" w:cs="Calibri"/>
      </w:rPr>
      <w:t>923 31 Storuman</w:t>
    </w:r>
    <w:r w:rsidRPr="00C97BDF">
      <w:rPr>
        <w:rFonts w:ascii="Calibri" w:hAnsi="Calibri" w:cs="Calibri"/>
      </w:rPr>
      <w:tab/>
    </w:r>
    <w:hyperlink r:id="rId2" w:history="1">
      <w:r w:rsidRPr="00C97BDF">
        <w:rPr>
          <w:rStyle w:val="Hyperlnk"/>
          <w:rFonts w:ascii="Calibri" w:hAnsi="Calibri" w:cs="Calibri"/>
        </w:rPr>
        <w:t>www.georange.se</w:t>
      </w:r>
    </w:hyperlink>
    <w:r w:rsidRPr="00C97BDF">
      <w:rPr>
        <w:rFonts w:ascii="Calibri" w:hAnsi="Calibri" w:cs="Calibri"/>
      </w:rPr>
      <w:tab/>
    </w:r>
    <w:r w:rsidRPr="00C97BDF">
      <w:rPr>
        <w:rFonts w:ascii="Calibri" w:hAnsi="Calibri" w:cs="Calibri"/>
      </w:rPr>
      <w:tab/>
    </w:r>
    <w:proofErr w:type="gramStart"/>
    <w:r w:rsidRPr="00C97BDF">
      <w:rPr>
        <w:rFonts w:ascii="Calibri" w:hAnsi="Calibri" w:cs="Calibri"/>
      </w:rPr>
      <w:t>5530-4612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F1874" w14:textId="77777777" w:rsidR="00B12610" w:rsidRDefault="00B12610" w:rsidP="00C97BDF">
      <w:pPr>
        <w:spacing w:after="0" w:line="240" w:lineRule="auto"/>
      </w:pPr>
      <w:r>
        <w:separator/>
      </w:r>
    </w:p>
  </w:footnote>
  <w:footnote w:type="continuationSeparator" w:id="0">
    <w:p w14:paraId="3F653163" w14:textId="77777777" w:rsidR="00B12610" w:rsidRDefault="00B12610" w:rsidP="00C97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EC66" w14:textId="77777777" w:rsidR="00FE14F4" w:rsidRDefault="00C97BDF" w:rsidP="00FE14F4">
    <w:pPr>
      <w:pStyle w:val="Sidhuvud"/>
      <w:ind w:left="2608" w:hanging="2608"/>
    </w:pPr>
    <w:r>
      <w:rPr>
        <w:noProof/>
      </w:rPr>
      <w:drawing>
        <wp:inline distT="0" distB="0" distL="0" distR="0" wp14:anchorId="061DB6B2" wp14:editId="3CF67D77">
          <wp:extent cx="1220564" cy="885825"/>
          <wp:effectExtent l="0" t="0" r="0" b="0"/>
          <wp:docPr id="349958529" name="Bildobjekt 1" descr="En bild som visar Teckensnitt, vit, tex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958529" name="Bildobjekt 1" descr="En bild som visar Teckensnitt, vit, text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55" cy="903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14F4">
      <w:t xml:space="preserve"> </w:t>
    </w:r>
    <w:r w:rsidR="00FE14F4">
      <w:tab/>
      <w:t xml:space="preserve">Strategi och handlingsplan för </w:t>
    </w:r>
    <w:proofErr w:type="spellStart"/>
    <w:r w:rsidR="00FE14F4">
      <w:t>Georange</w:t>
    </w:r>
    <w:proofErr w:type="spellEnd"/>
    <w:r w:rsidR="00FE14F4">
      <w:t xml:space="preserve"> </w:t>
    </w:r>
  </w:p>
  <w:p w14:paraId="66FF2FF1" w14:textId="3CB1931F" w:rsidR="00C97BDF" w:rsidRDefault="00FE14F4" w:rsidP="00FE14F4">
    <w:pPr>
      <w:pStyle w:val="Sidhuvud"/>
      <w:ind w:left="2608" w:hanging="2608"/>
    </w:pPr>
    <w:r>
      <w:tab/>
      <w:t xml:space="preserve">Antagen av styrelsen för </w:t>
    </w:r>
    <w:proofErr w:type="spellStart"/>
    <w:r>
      <w:t>Georange</w:t>
    </w:r>
    <w:proofErr w:type="spellEnd"/>
    <w:r>
      <w:t xml:space="preserve"> ideella förening 2025-XX-XX.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B0F"/>
    <w:multiLevelType w:val="hybridMultilevel"/>
    <w:tmpl w:val="F650E400"/>
    <w:lvl w:ilvl="0" w:tplc="4CC81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56E91"/>
    <w:multiLevelType w:val="hybridMultilevel"/>
    <w:tmpl w:val="E3921778"/>
    <w:lvl w:ilvl="0" w:tplc="4CC81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554B0"/>
    <w:multiLevelType w:val="hybridMultilevel"/>
    <w:tmpl w:val="1CDEB1EE"/>
    <w:lvl w:ilvl="0" w:tplc="7060A5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000000" w:themeColor="text1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86E45"/>
    <w:multiLevelType w:val="hybridMultilevel"/>
    <w:tmpl w:val="4A4A72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B3B49"/>
    <w:multiLevelType w:val="hybridMultilevel"/>
    <w:tmpl w:val="32D20256"/>
    <w:lvl w:ilvl="0" w:tplc="4CC812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94754">
    <w:abstractNumId w:val="4"/>
  </w:num>
  <w:num w:numId="2" w16cid:durableId="1444495122">
    <w:abstractNumId w:val="2"/>
  </w:num>
  <w:num w:numId="3" w16cid:durableId="1352680526">
    <w:abstractNumId w:val="0"/>
  </w:num>
  <w:num w:numId="4" w16cid:durableId="1233853352">
    <w:abstractNumId w:val="1"/>
  </w:num>
  <w:num w:numId="5" w16cid:durableId="2135562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F9"/>
    <w:rsid w:val="000A352A"/>
    <w:rsid w:val="000A7BD2"/>
    <w:rsid w:val="00124FD7"/>
    <w:rsid w:val="0025728E"/>
    <w:rsid w:val="00273CC4"/>
    <w:rsid w:val="002D0FF7"/>
    <w:rsid w:val="002E0B3A"/>
    <w:rsid w:val="002E6F0D"/>
    <w:rsid w:val="0033386B"/>
    <w:rsid w:val="003451B4"/>
    <w:rsid w:val="003F6E0D"/>
    <w:rsid w:val="00420F6B"/>
    <w:rsid w:val="005018A4"/>
    <w:rsid w:val="006C40A9"/>
    <w:rsid w:val="0077770C"/>
    <w:rsid w:val="00797119"/>
    <w:rsid w:val="007A150C"/>
    <w:rsid w:val="00827281"/>
    <w:rsid w:val="0087035B"/>
    <w:rsid w:val="008D522F"/>
    <w:rsid w:val="008E55E1"/>
    <w:rsid w:val="008F7196"/>
    <w:rsid w:val="00A42F92"/>
    <w:rsid w:val="00A522BE"/>
    <w:rsid w:val="00B0734E"/>
    <w:rsid w:val="00B12610"/>
    <w:rsid w:val="00B665F9"/>
    <w:rsid w:val="00BB7C5C"/>
    <w:rsid w:val="00C97BDF"/>
    <w:rsid w:val="00D9626C"/>
    <w:rsid w:val="00DC565A"/>
    <w:rsid w:val="00DC635D"/>
    <w:rsid w:val="00E66BDF"/>
    <w:rsid w:val="00E8449B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07220"/>
  <w15:chartTrackingRefBased/>
  <w15:docId w15:val="{145955E8-844B-4118-9275-D1346B68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7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7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7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7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7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7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7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7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7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7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7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7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7BD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7BD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7BD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7BD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7BD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7BD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7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7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7B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7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7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7BD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7BD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7BD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7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7BD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7BD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9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7BDF"/>
  </w:style>
  <w:style w:type="paragraph" w:styleId="Sidfot">
    <w:name w:val="footer"/>
    <w:basedOn w:val="Normal"/>
    <w:link w:val="SidfotChar"/>
    <w:uiPriority w:val="99"/>
    <w:unhideWhenUsed/>
    <w:rsid w:val="00C9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7BDF"/>
  </w:style>
  <w:style w:type="character" w:styleId="Hyperlnk">
    <w:name w:val="Hyperlink"/>
    <w:basedOn w:val="Standardstycketeckensnitt"/>
    <w:uiPriority w:val="99"/>
    <w:unhideWhenUsed/>
    <w:rsid w:val="00C97BDF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7BDF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E14F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E14F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E14F4"/>
    <w:rPr>
      <w:sz w:val="20"/>
      <w:szCs w:val="20"/>
    </w:rPr>
  </w:style>
  <w:style w:type="paragraph" w:styleId="Revision">
    <w:name w:val="Revision"/>
    <w:hidden/>
    <w:uiPriority w:val="99"/>
    <w:semiHidden/>
    <w:rsid w:val="00420F6B"/>
    <w:pPr>
      <w:spacing w:after="0" w:line="240" w:lineRule="auto"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0F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0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orange.se" TargetMode="External"/><Relationship Id="rId1" Type="http://schemas.openxmlformats.org/officeDocument/2006/relationships/hyperlink" Target="mailto:tomas.mortsell@it4u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orange%20fr%20Malin\georange_forening_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D:\Georange fr Malin\georange_forening_dokumentmall.dotx</Template>
  <TotalTime>31</TotalTime>
  <Pages>4</Pages>
  <Words>1224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Malin Svensson</cp:lastModifiedBy>
  <cp:revision>4</cp:revision>
  <dcterms:created xsi:type="dcterms:W3CDTF">2025-02-20T08:42:00Z</dcterms:created>
  <dcterms:modified xsi:type="dcterms:W3CDTF">2025-02-27T16:11:00Z</dcterms:modified>
</cp:coreProperties>
</file>